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4. CONFLICT OF INTEREST AND CONFLICTS OF LOYALTY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4.1</w:t>
        <w:tab/>
        <w:t>A charity trustee must:-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4.1.1 </w:t>
        <w:tab/>
        <w:t>declare the nature and extent of any interest, direct or indirect, which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he or she has in a proposed transaction or arrangement with the Charity or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in any transaction or arrangement entered into by the Charity which has not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previously been declared; and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4.1.2 </w:t>
        <w:tab/>
        <w:t>absent himself or herself from any discussions of the charity trustees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in which it is possible that a conflict of interest will arise between his or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her duty to act solely in the interests of the Charity and any personal interest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(including but not limited to any financial interest).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4.1.3 </w:t>
        <w:tab/>
        <w:t>any charity trustee absenting himself or herself from any discussions in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accordance with this clause must not vote or be counted as part of the quorum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in any decision of the charity trustees on the matter.</w:t>
      </w:r>
    </w:p>
    <w:p>
      <w:pPr>
        <w:pStyle w:val="Body"/>
        <w:bidi w:val="0"/>
        <w:ind w:left="0" w:right="0" w:firstLine="72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s-ES_tradnl"/>
        </w:rPr>
        <w:t xml:space="preserve">PROCEDURE </w:t>
      </w:r>
    </w:p>
    <w:p>
      <w:pPr>
        <w:pStyle w:val="Body"/>
        <w:bidi w:val="0"/>
        <w:ind w:left="720" w:right="0" w:hanging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4.2</w:t>
        <w:tab/>
        <w:t>Any breach of the policy under para 3 above could lead to disciplinary proceedings under the procedures in para 2 above.</w:t>
      </w:r>
    </w:p>
    <w:p>
      <w:pPr>
        <w:pStyle w:val="Body"/>
        <w:bidi w:val="0"/>
        <w:ind w:left="720" w:right="0" w:hanging="72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720" w:right="0" w:hanging="72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**********************************************************************************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