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u w:color="000000"/>
        </w:rPr>
      </w:pPr>
    </w:p>
    <w:p>
      <w:pPr>
        <w:pStyle w:val="Body A"/>
        <w:rPr>
          <w:rFonts w:ascii="Calibri" w:cs="Calibri" w:hAnsi="Calibri" w:eastAsia="Calibri"/>
          <w:b w:val="1"/>
          <w:bCs w:val="1"/>
          <w:u w:color="000000"/>
        </w:rPr>
      </w:pPr>
      <w:r>
        <w:rPr>
          <w:rFonts w:ascii="Calibri" w:cs="Calibri" w:hAnsi="Calibri" w:eastAsia="Calibri"/>
          <w:b w:val="1"/>
          <w:bCs w:val="1"/>
          <w:u w:color="000000"/>
          <w:rtl w:val="0"/>
          <w:lang w:val="en-US"/>
        </w:rPr>
        <w:t>5. CRIMINAL CONVICTIONS</w:t>
      </w:r>
    </w:p>
    <w:p>
      <w:pPr>
        <w:pStyle w:val="Body A"/>
        <w:rPr>
          <w:rFonts w:ascii="Calibri" w:cs="Calibri" w:hAnsi="Calibri" w:eastAsia="Calibri"/>
          <w:u w:color="000000"/>
        </w:rPr>
      </w:pPr>
    </w:p>
    <w:p>
      <w:pPr>
        <w:pStyle w:val="Body A"/>
        <w:ind w:left="720" w:hanging="720"/>
        <w:rPr>
          <w:rFonts w:ascii="Calibri" w:cs="Calibri" w:hAnsi="Calibri" w:eastAsia="Calibri"/>
          <w:u w:color="000000"/>
        </w:rPr>
      </w:pPr>
      <w:r>
        <w:rPr>
          <w:rFonts w:ascii="Calibri" w:cs="Calibri" w:hAnsi="Calibri" w:eastAsia="Calibri"/>
          <w:u w:color="000000"/>
          <w:rtl w:val="0"/>
          <w:lang w:val="en-US"/>
        </w:rPr>
        <w:t xml:space="preserve">5.1 </w:t>
        <w:tab/>
        <w:t>If any member is convicted of a criminal offence in respect of matters outside the charity, consideration should be given as to the effect the conviction will have on their suitability to remain a member and their relationship with colleagues. If it is considered by any member that termination of membership maybe appropriate, the matter must be reported to the Trustees who will decide upon appropriate action.</w:t>
      </w:r>
    </w:p>
    <w:p>
      <w:pPr>
        <w:pStyle w:val="Body A"/>
        <w:ind w:firstLine="720"/>
        <w:rPr>
          <w:rFonts w:ascii="Calibri" w:cs="Calibri" w:hAnsi="Calibri" w:eastAsia="Calibri"/>
          <w:b w:val="1"/>
          <w:bCs w:val="1"/>
          <w:u w:color="000000"/>
        </w:rPr>
      </w:pPr>
      <w:r>
        <w:rPr>
          <w:rFonts w:ascii="Calibri" w:cs="Calibri" w:hAnsi="Calibri" w:eastAsia="Calibri"/>
          <w:b w:val="1"/>
          <w:bCs w:val="1"/>
          <w:u w:color="000000"/>
          <w:rtl w:val="0"/>
          <w:lang w:val="es-ES_tradnl"/>
        </w:rPr>
        <w:t xml:space="preserve">PROCEDURE </w:t>
      </w:r>
    </w:p>
    <w:p>
      <w:pPr>
        <w:pStyle w:val="Body A"/>
        <w:ind w:left="720" w:hanging="720"/>
        <w:rPr>
          <w:rFonts w:ascii="Calibri" w:cs="Calibri" w:hAnsi="Calibri" w:eastAsia="Calibri"/>
          <w:u w:color="000000"/>
        </w:rPr>
      </w:pPr>
      <w:r>
        <w:rPr>
          <w:rFonts w:ascii="Calibri" w:cs="Calibri" w:hAnsi="Calibri" w:eastAsia="Calibri"/>
          <w:u w:color="000000"/>
          <w:rtl w:val="0"/>
          <w:lang w:val="en-US"/>
        </w:rPr>
        <w:t xml:space="preserve">5.2 </w:t>
        <w:tab/>
        <w:t>Action re 5.1 above will be based upon the disciplinary procedures in paragraphs 3.1.9 to 3.1.12 above.</w:t>
      </w:r>
    </w:p>
    <w:p>
      <w:pPr>
        <w:pStyle w:val="Body A"/>
        <w:ind w:left="720" w:hanging="720"/>
        <w:rPr>
          <w:rFonts w:ascii="Calibri" w:cs="Calibri" w:hAnsi="Calibri" w:eastAsia="Calibri"/>
          <w:u w:color="000000"/>
        </w:rPr>
      </w:pPr>
    </w:p>
    <w:p>
      <w:pPr>
        <w:pStyle w:val="Body A"/>
        <w:ind w:left="720" w:hanging="720"/>
      </w:pPr>
      <w:r>
        <w:rPr>
          <w:rFonts w:ascii="Calibri" w:cs="Calibri" w:hAnsi="Calibri" w:eastAsia="Calibri"/>
          <w:u w:color="000000"/>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