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8. HEALTH &amp; SAFETY:-</w:t>
      </w:r>
    </w:p>
    <w:p>
      <w:pPr>
        <w:pStyle w:val="Body"/>
        <w:bidi w:val="0"/>
        <w:ind w:left="720" w:right="0" w:hanging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8.1</w:t>
        <w:tab/>
        <w:t>Health &amp; Safety legislation does not generally apply to someone who is not an employer, self-employed or an employee (see http://www.hse.gov.uk/contact/faqs/charities.htm). Nonetheless, the Trustees require all members of the Charity to be guided by H&amp;S</w:t>
      </w:r>
    </w:p>
    <w:p>
      <w:pPr>
        <w:pStyle w:val="Body"/>
        <w:bidi w:val="0"/>
        <w:ind w:left="72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requirements, and to do all that is reasonable and practicable to prevent personal injury to anyone working on or visiting MV Freedom.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ind w:left="720" w:right="0" w:hanging="72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8.2</w:t>
        <w:tab/>
        <w:t>A full Risk Assessment will be prepared by the HSO in respect of matters directly connected with the management and use of MV Freedom.</w:t>
      </w:r>
    </w:p>
    <w:p>
      <w:pPr>
        <w:pStyle w:val="Body"/>
        <w:bidi w:val="0"/>
        <w:ind w:left="720" w:right="0" w:hanging="72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ind w:left="720" w:right="0" w:hanging="72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**********************************************************************************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