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9. WORKING AT HEIGHT AND FIRE SAFETY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9.1</w:t>
        <w:tab/>
        <w:t>The Work at Height Regulations 2005 (as amended) are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obligatory and must be fully complied with, not only to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minimise the risk of injury, but in order to protect everyone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from personal financial liability in the event of a claim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following an accident, or even criminal liability; also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9.2</w:t>
        <w:tab/>
        <w:t>Fire safety legislation does apply to charities premises (see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http://www.communities.gov.uk/fire/firesafety/firesafetylaw/)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and fire risk assessments must be to be carried out in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accordance with Regulatory Reform (Fire Safety) order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2005. The Trustees should consult their local Fire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Brigade if advice is required.</w:t>
      </w:r>
    </w:p>
    <w:p>
      <w:pPr>
        <w:pStyle w:val="Body"/>
        <w:bidi w:val="0"/>
        <w:ind w:left="720" w:right="0" w:firstLine="72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9.3</w:t>
        <w:tab/>
        <w:t>The Secretary is responsible for H&amp;S and fire safety policy on MV Freedom. Each individual skipper will have responsibility for H &amp; S matters whilst in charge of the vessels active operations.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</w:t>
      </w:r>
    </w:p>
    <w:p>
      <w:pPr>
        <w:pStyle w:val="Body"/>
        <w:bidi w:val="0"/>
        <w:ind w:left="72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PROCEDURES:-</w:t>
      </w: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9.4</w:t>
        <w:tab/>
        <w:t>The Trustees will appoint an H&amp;S officer (HSO) to assist with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en-US"/>
        </w:rPr>
        <w:t>local health and safety arrangements, including training.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en-US"/>
        </w:rPr>
        <w:t>The charity must retain a set of H&amp;S Instructions, which will be reviewed annually by the HSO. The instructions must be signed annually by all trustees, skippers and crew, and contain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en-US"/>
        </w:rPr>
        <w:t>risk assessments and arrangements regarding: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Responsibilities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Procedures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Training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Reporting</w:t>
      </w:r>
    </w:p>
    <w:p>
      <w:pPr>
        <w:pStyle w:val="Default"/>
        <w:numPr>
          <w:ilvl w:val="3"/>
          <w:numId w:val="2"/>
        </w:numPr>
        <w:bidi w:val="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First Aid.</w:t>
      </w: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9.5</w:t>
        <w:tab/>
        <w:t>In addition, an accident book is maintained on MV Freedom, whilst having regard to the protection of personal information.</w:t>
      </w: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**********************************************************************************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5"/>
  </w:abstractNum>
  <w:abstractNum w:abstractNumId="1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5">
    <w:name w:val="Imported Style 5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